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B7" w:rsidRPr="0029706A" w:rsidRDefault="0029706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06A">
        <w:rPr>
          <w:rFonts w:ascii="Arial" w:hAnsi="Arial" w:cs="Arial"/>
        </w:rPr>
        <w:t>Allegato 2</w:t>
      </w:r>
    </w:p>
    <w:tbl>
      <w:tblPr>
        <w:tblStyle w:val="Grigliatabella"/>
        <w:tblW w:w="0" w:type="auto"/>
        <w:tblLook w:val="04A0"/>
      </w:tblPr>
      <w:tblGrid>
        <w:gridCol w:w="3364"/>
        <w:gridCol w:w="2432"/>
        <w:gridCol w:w="3067"/>
        <w:gridCol w:w="3049"/>
        <w:gridCol w:w="2591"/>
      </w:tblGrid>
      <w:tr w:rsidR="007A09A9" w:rsidTr="00BE3C31">
        <w:tc>
          <w:tcPr>
            <w:tcW w:w="14503" w:type="dxa"/>
            <w:gridSpan w:val="5"/>
          </w:tcPr>
          <w:p w:rsidR="007A09A9" w:rsidRDefault="007A09A9" w:rsidP="007A09A9">
            <w:pPr>
              <w:pStyle w:val="Paragrafoelenco1"/>
              <w:numPr>
                <w:ilvl w:val="0"/>
                <w:numId w:val="1"/>
              </w:numPr>
              <w:autoSpaceDE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09A9" w:rsidRPr="007A09A9" w:rsidRDefault="007A09A9" w:rsidP="007A09A9">
            <w:pPr>
              <w:pStyle w:val="Paragrafoelenco1"/>
              <w:numPr>
                <w:ilvl w:val="0"/>
                <w:numId w:val="1"/>
              </w:numPr>
              <w:autoSpaceDE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9A9">
              <w:rPr>
                <w:rFonts w:ascii="Arial" w:hAnsi="Arial" w:cs="Arial"/>
                <w:b/>
                <w:sz w:val="22"/>
                <w:szCs w:val="22"/>
              </w:rPr>
              <w:t xml:space="preserve">Ai sensi degli artt. 5, par. 1, lett. f) e 32 RGPD, sono descritte a cura del Responsabile quali misure tecniche e organizzative siano in essere in relazione  ai servizi forniti al Titolare e se siano previste azioni di implementazione/sviluppo; in alternativa indicare  se ritenute non applicabili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darne </w:t>
            </w:r>
            <w:r w:rsidRPr="007A09A9">
              <w:rPr>
                <w:rFonts w:ascii="Arial" w:hAnsi="Arial" w:cs="Arial"/>
                <w:b/>
                <w:sz w:val="22"/>
                <w:szCs w:val="22"/>
              </w:rPr>
              <w:t xml:space="preserve"> motivazione</w:t>
            </w:r>
          </w:p>
          <w:p w:rsidR="007A09A9" w:rsidRPr="00603B37" w:rsidRDefault="007A09A9" w:rsidP="00B05097">
            <w:pPr>
              <w:pStyle w:val="Paragrafoelenco1"/>
              <w:numPr>
                <w:ilvl w:val="0"/>
                <w:numId w:val="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:rsidR="007A09A9" w:rsidRPr="00F227B7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Default="007A09A9" w:rsidP="007A09A9">
            <w:pPr>
              <w:pStyle w:val="Paragrafoelenco1"/>
              <w:numPr>
                <w:ilvl w:val="0"/>
                <w:numId w:val="1"/>
              </w:numPr>
              <w:autoSpaceDE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9A9" w:rsidTr="001B6651">
        <w:tc>
          <w:tcPr>
            <w:tcW w:w="14503" w:type="dxa"/>
            <w:gridSpan w:val="5"/>
          </w:tcPr>
          <w:p w:rsidR="007A09A9" w:rsidRDefault="007A09A9" w:rsidP="00A34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09A9" w:rsidRPr="00F227B7" w:rsidRDefault="007A09A9" w:rsidP="00A34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27B7">
              <w:rPr>
                <w:rFonts w:ascii="Arial" w:hAnsi="Arial" w:cs="Arial"/>
                <w:b/>
                <w:sz w:val="28"/>
                <w:szCs w:val="28"/>
              </w:rPr>
              <w:t>MISURE  TECNICHE</w:t>
            </w:r>
            <w:r w:rsidR="009527FF">
              <w:rPr>
                <w:rFonts w:ascii="Arial" w:hAnsi="Arial" w:cs="Arial"/>
                <w:b/>
                <w:sz w:val="28"/>
                <w:szCs w:val="28"/>
              </w:rPr>
              <w:t xml:space="preserve"> E ORGANIZZATIVE</w:t>
            </w:r>
          </w:p>
          <w:p w:rsidR="007A09A9" w:rsidRDefault="007A09A9" w:rsidP="00A348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09A9" w:rsidTr="007A09A9">
        <w:tc>
          <w:tcPr>
            <w:tcW w:w="3364" w:type="dxa"/>
          </w:tcPr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  <w:r w:rsidRPr="00F227B7">
              <w:rPr>
                <w:rFonts w:ascii="Arial" w:hAnsi="Arial" w:cs="Arial"/>
                <w:b/>
              </w:rPr>
              <w:t>MISURA</w:t>
            </w:r>
          </w:p>
          <w:p w:rsidR="007A09A9" w:rsidRPr="00F227B7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</w:tcPr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Pr="00F227B7" w:rsidRDefault="007A09A9" w:rsidP="00F227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DETTAGLIO</w:t>
            </w:r>
          </w:p>
        </w:tc>
        <w:tc>
          <w:tcPr>
            <w:tcW w:w="3067" w:type="dxa"/>
          </w:tcPr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Pr="00F227B7" w:rsidRDefault="007A09A9" w:rsidP="00F227B7">
            <w:pPr>
              <w:jc w:val="center"/>
              <w:rPr>
                <w:rFonts w:ascii="Arial" w:hAnsi="Arial" w:cs="Arial"/>
                <w:b/>
              </w:rPr>
            </w:pPr>
            <w:r w:rsidRPr="00F227B7">
              <w:rPr>
                <w:rFonts w:ascii="Arial" w:hAnsi="Arial" w:cs="Arial"/>
                <w:b/>
              </w:rPr>
              <w:t>AZIONI IMPLEMENTATE</w:t>
            </w:r>
          </w:p>
        </w:tc>
        <w:tc>
          <w:tcPr>
            <w:tcW w:w="3049" w:type="dxa"/>
          </w:tcPr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Pr="00F227B7" w:rsidRDefault="007A09A9" w:rsidP="00F227B7">
            <w:pPr>
              <w:jc w:val="center"/>
              <w:rPr>
                <w:rFonts w:ascii="Arial" w:hAnsi="Arial" w:cs="Arial"/>
                <w:b/>
              </w:rPr>
            </w:pPr>
            <w:r w:rsidRPr="00F227B7">
              <w:rPr>
                <w:rFonts w:ascii="Arial" w:hAnsi="Arial" w:cs="Arial"/>
                <w:b/>
              </w:rPr>
              <w:t xml:space="preserve">AZIONI </w:t>
            </w:r>
            <w:proofErr w:type="spellStart"/>
            <w:r w:rsidRPr="00F227B7">
              <w:rPr>
                <w:rFonts w:ascii="Arial" w:hAnsi="Arial" w:cs="Arial"/>
                <w:b/>
              </w:rPr>
              <w:t>DI</w:t>
            </w:r>
            <w:proofErr w:type="spellEnd"/>
            <w:r w:rsidRPr="00F227B7">
              <w:rPr>
                <w:rFonts w:ascii="Arial" w:hAnsi="Arial" w:cs="Arial"/>
                <w:b/>
              </w:rPr>
              <w:t xml:space="preserve"> SVILUPPO</w:t>
            </w:r>
          </w:p>
        </w:tc>
        <w:tc>
          <w:tcPr>
            <w:tcW w:w="2591" w:type="dxa"/>
          </w:tcPr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</w:p>
          <w:p w:rsidR="007A09A9" w:rsidRDefault="007A09A9" w:rsidP="00F227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</w:tr>
      <w:tr w:rsidR="007A09A9" w:rsidTr="007A09A9">
        <w:tc>
          <w:tcPr>
            <w:tcW w:w="3364" w:type="dxa"/>
          </w:tcPr>
          <w:p w:rsidR="007A09A9" w:rsidRPr="00A56B31" w:rsidRDefault="007A09A9">
            <w:pPr>
              <w:rPr>
                <w:b/>
              </w:rPr>
            </w:pPr>
            <w:proofErr w:type="spellStart"/>
            <w:r w:rsidRPr="00A56B31">
              <w:rPr>
                <w:b/>
              </w:rPr>
              <w:t>Pseudonimizzazione</w:t>
            </w:r>
            <w:proofErr w:type="spellEnd"/>
            <w:r w:rsidRPr="00A56B31">
              <w:rPr>
                <w:b/>
              </w:rPr>
              <w:t>/cifratura dei dati personali</w:t>
            </w:r>
          </w:p>
        </w:tc>
        <w:tc>
          <w:tcPr>
            <w:tcW w:w="2432" w:type="dxa"/>
          </w:tcPr>
          <w:p w:rsidR="007A09A9" w:rsidRDefault="007A09A9">
            <w:r>
              <w:t xml:space="preserve">Misure per garantire la </w:t>
            </w:r>
            <w:proofErr w:type="spellStart"/>
            <w:r>
              <w:t>pseudonimizzazione</w:t>
            </w:r>
            <w:proofErr w:type="spellEnd"/>
            <w:r>
              <w:t xml:space="preserve"> dei dati utilizzati nel servizio erogato</w:t>
            </w:r>
          </w:p>
          <w:p w:rsidR="007A09A9" w:rsidRDefault="007A09A9">
            <w:r>
              <w:t xml:space="preserve">Procedura  e criteri di utilizzo della cifratura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>
            <w:pPr>
              <w:rPr>
                <w:b/>
              </w:rPr>
            </w:pPr>
            <w:r w:rsidRPr="00A56B31">
              <w:rPr>
                <w:b/>
              </w:rPr>
              <w:t xml:space="preserve">Controllo degli accessi fisici </w:t>
            </w:r>
          </w:p>
        </w:tc>
        <w:tc>
          <w:tcPr>
            <w:tcW w:w="2432" w:type="dxa"/>
          </w:tcPr>
          <w:p w:rsidR="007A09A9" w:rsidRDefault="007A09A9">
            <w:r>
              <w:t>Procedure di sicurezza per il controllo dell’accesso fisico alle strutture in cui viene erogato il servizio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Default="007A09A9" w:rsidP="000E2C99">
            <w:pPr>
              <w:rPr>
                <w:b/>
              </w:rPr>
            </w:pPr>
          </w:p>
          <w:p w:rsidR="007A09A9" w:rsidRDefault="007A09A9" w:rsidP="000E2C99">
            <w:pPr>
              <w:rPr>
                <w:b/>
              </w:rPr>
            </w:pPr>
            <w:r w:rsidRPr="00A56B31">
              <w:rPr>
                <w:b/>
              </w:rPr>
              <w:t xml:space="preserve">Controllo degli accessi ai sistemi  di trattamento dei dati </w:t>
            </w:r>
          </w:p>
          <w:p w:rsidR="007A09A9" w:rsidRPr="00A56B31" w:rsidRDefault="007A09A9" w:rsidP="000E2C99">
            <w:pPr>
              <w:rPr>
                <w:b/>
              </w:rPr>
            </w:pPr>
          </w:p>
        </w:tc>
        <w:tc>
          <w:tcPr>
            <w:tcW w:w="2432" w:type="dxa"/>
          </w:tcPr>
          <w:p w:rsidR="007A09A9" w:rsidRDefault="007A09A9">
            <w:r>
              <w:t xml:space="preserve">Procedure di gestione degli accessi logici degli utenti a sistemi che trattano i dati (autenticazione)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Default="007A09A9" w:rsidP="000E2C99">
            <w:pPr>
              <w:rPr>
                <w:b/>
              </w:rPr>
            </w:pPr>
          </w:p>
          <w:p w:rsidR="007A09A9" w:rsidRPr="00A56B31" w:rsidRDefault="007A09A9" w:rsidP="00765695">
            <w:pPr>
              <w:rPr>
                <w:b/>
              </w:rPr>
            </w:pPr>
            <w:r w:rsidRPr="00A56B31">
              <w:rPr>
                <w:b/>
              </w:rPr>
              <w:t xml:space="preserve">Controllo degli accessi ai dati </w:t>
            </w:r>
          </w:p>
        </w:tc>
        <w:tc>
          <w:tcPr>
            <w:tcW w:w="2432" w:type="dxa"/>
          </w:tcPr>
          <w:p w:rsidR="007A09A9" w:rsidRDefault="007A09A9" w:rsidP="00765695">
            <w:r>
              <w:t xml:space="preserve">Procedure di gestione/controllo  degli accessi  logici degli utenti ai dati </w:t>
            </w:r>
            <w:r>
              <w:lastRenderedPageBreak/>
              <w:t>(</w:t>
            </w:r>
            <w:proofErr w:type="spellStart"/>
            <w:r>
              <w:t>profilazione</w:t>
            </w:r>
            <w:proofErr w:type="spellEnd"/>
            <w:r>
              <w:t xml:space="preserve">)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Default="007A09A9" w:rsidP="00765695">
            <w:pPr>
              <w:rPr>
                <w:b/>
              </w:rPr>
            </w:pPr>
          </w:p>
          <w:p w:rsidR="007A09A9" w:rsidRPr="00A56B31" w:rsidRDefault="007A09A9" w:rsidP="00765695">
            <w:pPr>
              <w:rPr>
                <w:b/>
              </w:rPr>
            </w:pPr>
            <w:r w:rsidRPr="00A56B31">
              <w:rPr>
                <w:b/>
              </w:rPr>
              <w:t xml:space="preserve">Controllo della trasmissione dei dati </w:t>
            </w:r>
          </w:p>
        </w:tc>
        <w:tc>
          <w:tcPr>
            <w:tcW w:w="2432" w:type="dxa"/>
          </w:tcPr>
          <w:p w:rsidR="007A09A9" w:rsidRPr="00765695" w:rsidRDefault="007A09A9" w:rsidP="00A3488D">
            <w:r>
              <w:t xml:space="preserve">Procedure di controllo in caso di </w:t>
            </w:r>
            <w:r w:rsidRPr="00765695">
              <w:t xml:space="preserve"> comunicazione elettronica</w:t>
            </w:r>
            <w:r>
              <w:t xml:space="preserve"> o</w:t>
            </w:r>
            <w:r w:rsidRPr="00765695">
              <w:t>, trasporto fisico</w:t>
            </w:r>
            <w:r>
              <w:t xml:space="preserve"> dei dati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>
            <w:pPr>
              <w:rPr>
                <w:b/>
              </w:rPr>
            </w:pPr>
            <w:r w:rsidRPr="00A56B31">
              <w:rPr>
                <w:b/>
              </w:rPr>
              <w:t>Disponibilità e accesso ai dati in caso di incidente</w:t>
            </w:r>
            <w:r>
              <w:rPr>
                <w:b/>
              </w:rPr>
              <w:t xml:space="preserve"> fisico o tecnico</w:t>
            </w:r>
          </w:p>
        </w:tc>
        <w:tc>
          <w:tcPr>
            <w:tcW w:w="2432" w:type="dxa"/>
          </w:tcPr>
          <w:p w:rsidR="007A09A9" w:rsidRDefault="007A09A9">
            <w:r>
              <w:t xml:space="preserve">Procedure e sistemi di emergenza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>
            <w:pPr>
              <w:rPr>
                <w:b/>
              </w:rPr>
            </w:pPr>
            <w:r w:rsidRPr="00A56B31">
              <w:rPr>
                <w:b/>
              </w:rPr>
              <w:t xml:space="preserve">Procedure di controllo per assicurare la sicurezza dei trattamenti </w:t>
            </w:r>
          </w:p>
        </w:tc>
        <w:tc>
          <w:tcPr>
            <w:tcW w:w="2432" w:type="dxa"/>
          </w:tcPr>
          <w:p w:rsidR="007A09A9" w:rsidRDefault="007A09A9" w:rsidP="00BB41E1">
            <w:r>
              <w:t xml:space="preserve">Procedura per la revisione periodica, la valutazione e la verifica dell’efficacia delle misure di sicurezza del trattamento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 w:rsidP="00A56B31">
            <w:pPr>
              <w:rPr>
                <w:b/>
              </w:rPr>
            </w:pPr>
            <w:r w:rsidRPr="00A56B31">
              <w:rPr>
                <w:b/>
              </w:rPr>
              <w:t>Misure relative al personale autorizzato al trattamento</w:t>
            </w:r>
          </w:p>
        </w:tc>
        <w:tc>
          <w:tcPr>
            <w:tcW w:w="2432" w:type="dxa"/>
          </w:tcPr>
          <w:p w:rsidR="007A09A9" w:rsidRDefault="007A09A9" w:rsidP="00765695">
            <w:r>
              <w:t>Istruzioni</w:t>
            </w:r>
          </w:p>
          <w:p w:rsidR="007A09A9" w:rsidRDefault="007A09A9" w:rsidP="00765695">
            <w:r>
              <w:t xml:space="preserve">formazione 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 w:rsidP="00A56B31">
            <w:pPr>
              <w:rPr>
                <w:b/>
              </w:rPr>
            </w:pPr>
            <w:r w:rsidRPr="00A56B31">
              <w:rPr>
                <w:b/>
              </w:rPr>
              <w:t>Gestione delle postazioni di lavoro</w:t>
            </w:r>
          </w:p>
        </w:tc>
        <w:tc>
          <w:tcPr>
            <w:tcW w:w="2432" w:type="dxa"/>
          </w:tcPr>
          <w:p w:rsidR="007A09A9" w:rsidRDefault="007A09A9">
            <w:r>
              <w:t>Misure di sicurezza presenti sulle postazioni di lavoro utilizzate nell’erogazione del servizio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  <w:tr w:rsidR="007A09A9" w:rsidTr="007A09A9">
        <w:tc>
          <w:tcPr>
            <w:tcW w:w="3364" w:type="dxa"/>
          </w:tcPr>
          <w:p w:rsidR="007A09A9" w:rsidRPr="00A56B31" w:rsidRDefault="007A09A9" w:rsidP="00A56B31">
            <w:pPr>
              <w:rPr>
                <w:b/>
              </w:rPr>
            </w:pPr>
            <w:r w:rsidRPr="00A56B31">
              <w:rPr>
                <w:b/>
              </w:rPr>
              <w:t>Sicurezza della documentazione cartacea</w:t>
            </w:r>
          </w:p>
        </w:tc>
        <w:tc>
          <w:tcPr>
            <w:tcW w:w="2432" w:type="dxa"/>
          </w:tcPr>
          <w:p w:rsidR="007A09A9" w:rsidRDefault="007A09A9" w:rsidP="00A3488D">
            <w:r>
              <w:t>Procedure per limitare il rischio di accesso di soggetti non autorizzati ai documenti contenenti dati</w:t>
            </w:r>
          </w:p>
        </w:tc>
        <w:tc>
          <w:tcPr>
            <w:tcW w:w="3067" w:type="dxa"/>
          </w:tcPr>
          <w:p w:rsidR="007A09A9" w:rsidRDefault="007A09A9"/>
        </w:tc>
        <w:tc>
          <w:tcPr>
            <w:tcW w:w="3049" w:type="dxa"/>
          </w:tcPr>
          <w:p w:rsidR="007A09A9" w:rsidRDefault="007A09A9"/>
        </w:tc>
        <w:tc>
          <w:tcPr>
            <w:tcW w:w="2591" w:type="dxa"/>
          </w:tcPr>
          <w:p w:rsidR="007A09A9" w:rsidRDefault="007A09A9"/>
        </w:tc>
      </w:tr>
    </w:tbl>
    <w:p w:rsidR="00872647" w:rsidRDefault="009C158A"/>
    <w:sectPr w:rsidR="00872647" w:rsidSect="00A56B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DD3"/>
    <w:multiLevelType w:val="multilevel"/>
    <w:tmpl w:val="BEC070E0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F227B7"/>
    <w:rsid w:val="000E2C99"/>
    <w:rsid w:val="00106B89"/>
    <w:rsid w:val="0029706A"/>
    <w:rsid w:val="002D40A7"/>
    <w:rsid w:val="002F7092"/>
    <w:rsid w:val="00527E94"/>
    <w:rsid w:val="00653632"/>
    <w:rsid w:val="00765695"/>
    <w:rsid w:val="007A09A9"/>
    <w:rsid w:val="009527FF"/>
    <w:rsid w:val="009C158A"/>
    <w:rsid w:val="009F0ABD"/>
    <w:rsid w:val="00A3488D"/>
    <w:rsid w:val="00A56B31"/>
    <w:rsid w:val="00A8236B"/>
    <w:rsid w:val="00B05097"/>
    <w:rsid w:val="00BB41E1"/>
    <w:rsid w:val="00DB743C"/>
    <w:rsid w:val="00E40C7F"/>
    <w:rsid w:val="00E8547A"/>
    <w:rsid w:val="00F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C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B0509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slvpla63a67d612o</dc:creator>
  <cp:lastModifiedBy>slvpla63a67d612o</cp:lastModifiedBy>
  <cp:revision>9</cp:revision>
  <dcterms:created xsi:type="dcterms:W3CDTF">2021-02-05T14:47:00Z</dcterms:created>
  <dcterms:modified xsi:type="dcterms:W3CDTF">2021-02-25T09:21:00Z</dcterms:modified>
</cp:coreProperties>
</file>